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一、支持符合条件的投资者设立农贷公司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1、对具备较强出资能力的上市公司、国有控股企业等为主发起人新设农贷公司的，其持股比例可放宽至60%。监管评级A级以上农贷公司股权结构调整，可参照执行;其中符合上述条件的，持股比例最高可放宽至80%。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2、已实现乡镇全覆盖的县(市、区)，可按乡镇总数的30%增设农贷公司。未实现乡镇全覆盖的县(市、区)，可在经济总量较大的乡镇增设1家农贷公司。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3、鼓励农贷公司开展兼并重组。积极支持优质农贷公司增资扩股、做强做大。引导鼓励资产质量较差、抗风性能力较弱的农贷公司，通过股权转让、兼并重组等方式，引进新股东和新的管理团队。实施股权转让、兼并重组的农贷公司，新股东及关联方持股比例最高可放宽至60%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二、适当放宽农贷公司业务经营限制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4、自2015年1月1日起，农贷公司业务经营区域范围可放宽至省辖市。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5、为适应中国人民银行放开贷款利率管制政策变化，引导鼓励农贷公司开展“小额、分散”贷款，对小贷公司实行差别化指导利率。自2015年1月1日起，农贷公司单笔50万元(含)以下的贷款，利率不得超过中国人民银行同期人民币贷款基准利率4倍;单笔50万元以上贷款的平均年化利率(按加权平均方式计算)不超过18%，最高年化利率不得超过同期人民币贷款基准利率4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三、鼓励农贷公司探索开展不良资产处置工作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6、支持农贷公司采用债转股形式处置不良资产，不断提高农贷公司信贷资产质量，增强多元化融资能力。允许农贷公司按不良贷款总额30%的比例实施债转股。农贷公司应在完成债转股相关变更手续后7个工作日内报省辖市金融办备案，并做好公开信息披露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7、支持股东有意愿的农贷公司试点开展不良信贷资产打包转让。借鉴资产管理公司处置金融不良资产方法，探索开展不良信贷资产打包转让试点，支持有实力的大股东回购、农贷公司受托清收不良资产，降低农贷公司账面不良率，提高资产质量和运行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8、引导支持农贷公司不良信贷资产在省内各金融资产交易中心挂牌转让，提高运用市场手段化解不良贷款的能力。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四、鼓励农贷公司积极开展业务创新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9、支持符合条件的农贷公司开展现金池调剂、应付款保函、开鑫贷、小微企业私募债等创新业务。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10、鼓励农贷公司开展小微贷业务。坚持小额分散经营理念，通过引入微贷技术、改进信贷流程、提高风控能力，深入拓展域内小微贷市场，大力发展小额消费贷款、小额信用贷款，提高农贷公司多层次、差异化信贷服务和市场竞争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11、探索发展“小贷卡”业务。坚持服务小微、风险可控的原则，支持江苏银行联合金创公司、金农公司发行“小贷卡”，综合发挥多方优势，支持优质农贷公司探索发展小贷卡业务。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五、进一步规范对农贷公司的监督管理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12、调整完善农贷公司监管评级指标体系。重点调整“跨区经营”、“利率水平”打分规则，提高资产质量类指标比重，增加担保业务指标等。调整后的评级体系应兼顾政策性和市场性，重在引导农贷公司坚持小额分散原则，体现农贷公司资产质量和经营能力。修改后的《江苏省农村小额贷款公司监管评级指标体系》另行下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13、调整董事长约谈程序。农贷公司筹建期和股权变更时的董事长约谈事项，下放至省辖市金融办。市金融办应组织拟任董事长进行任职资格考察和约谈，并将约谈记录随申请材料一并报省金融办。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14、全面加强真实性检查。为防范农贷公司表外业务风险，推动农贷公司健康可持续发展，自2015年1月1日起，农贷公司担保业务须逐笔录入业务系统，对信息录入不完整、不真实的农贷公司，将予以降级处罚。各级金融办应进一步加大真实性监管力度，抓好年度审计、监管评级、现场非现场检查工作，严肃查处违纪违规行为，严格执行市场退出机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60"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fill="FFFFFF"/>
        </w:rPr>
        <w:t xml:space="preserve">15、支持农贷公司接入征信系统和公开信息披露。充分利用省金农公司系统信息平台作用，支持符合条件的农贷公司接入人民银行征信系统，降低信贷交易成本，提高农贷公司运行质量。支持各地试点开展农贷公司信息公开披露制度，在改进行业监管方式的同时，进一步强化社会监督作用，提高农贷公司自律意识，促进农贷公司规范健康发展。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C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2018-04-20T02:08:53Z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